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B6D9" w14:textId="77777777" w:rsidR="004E65EA" w:rsidRDefault="004E65EA" w:rsidP="004E65EA">
      <w:pPr>
        <w:rPr>
          <w:b/>
          <w:bCs/>
          <w:sz w:val="22"/>
          <w:szCs w:val="22"/>
          <w:lang w:val="en-HK"/>
        </w:rPr>
      </w:pPr>
      <w:bookmarkStart w:id="0" w:name="_Hlk503386269"/>
      <w:r>
        <w:rPr>
          <w:b/>
          <w:bCs/>
          <w:sz w:val="22"/>
          <w:szCs w:val="22"/>
          <w:lang w:val="en-HK"/>
        </w:rPr>
        <w:t xml:space="preserve">First-Round </w:t>
      </w:r>
      <w:proofErr w:type="spellStart"/>
      <w:r>
        <w:rPr>
          <w:b/>
          <w:bCs/>
          <w:sz w:val="22"/>
          <w:szCs w:val="22"/>
          <w:lang w:val="en-HK"/>
        </w:rPr>
        <w:t>Leaderboard</w:t>
      </w:r>
      <w:proofErr w:type="spellEnd"/>
    </w:p>
    <w:p w14:paraId="3D215808" w14:textId="5C85E795" w:rsidR="004E65EA" w:rsidRDefault="004E65EA" w:rsidP="004E65EA">
      <w:pPr>
        <w:rPr>
          <w:b/>
          <w:bCs/>
          <w:sz w:val="22"/>
          <w:szCs w:val="22"/>
          <w:lang w:val="en-HK"/>
        </w:rPr>
      </w:pPr>
      <w:proofErr w:type="spellStart"/>
      <w:r>
        <w:rPr>
          <w:b/>
          <w:bCs/>
          <w:sz w:val="22"/>
          <w:szCs w:val="22"/>
          <w:lang w:val="en-HK"/>
        </w:rPr>
        <w:t>Neuquen</w:t>
      </w:r>
      <w:proofErr w:type="spellEnd"/>
      <w:r>
        <w:rPr>
          <w:b/>
          <w:bCs/>
          <w:sz w:val="22"/>
          <w:szCs w:val="22"/>
          <w:lang w:val="en-HK"/>
        </w:rPr>
        <w:t xml:space="preserve"> Argentina Classic</w:t>
      </w:r>
    </w:p>
    <w:p w14:paraId="433B0366" w14:textId="77777777" w:rsidR="004E65EA" w:rsidRDefault="004E65EA" w:rsidP="004E65EA">
      <w:pPr>
        <w:rPr>
          <w:rFonts w:ascii="Arial" w:hAnsi="Arial" w:cs="Arial"/>
        </w:rPr>
      </w:pPr>
    </w:p>
    <w:tbl>
      <w:tblPr>
        <w:tblStyle w:val="TableGrid"/>
        <w:tblW w:w="0" w:type="auto"/>
        <w:tblLook w:val="04A0" w:firstRow="1" w:lastRow="0" w:firstColumn="1" w:lastColumn="0" w:noHBand="0" w:noVBand="1"/>
      </w:tblPr>
      <w:tblGrid>
        <w:gridCol w:w="828"/>
        <w:gridCol w:w="4230"/>
        <w:gridCol w:w="2700"/>
        <w:gridCol w:w="1530"/>
      </w:tblGrid>
      <w:tr w:rsidR="004E65EA" w14:paraId="141CE984" w14:textId="77777777" w:rsidTr="00050E37">
        <w:tc>
          <w:tcPr>
            <w:tcW w:w="828" w:type="dxa"/>
          </w:tcPr>
          <w:p w14:paraId="49FE2763" w14:textId="77777777" w:rsidR="004E65EA" w:rsidRPr="000C730C" w:rsidRDefault="004E65EA" w:rsidP="00050E37">
            <w:pPr>
              <w:jc w:val="center"/>
              <w:rPr>
                <w:rFonts w:ascii="Arial" w:hAnsi="Arial" w:cs="Arial"/>
                <w:b/>
                <w:sz w:val="20"/>
                <w:szCs w:val="20"/>
              </w:rPr>
            </w:pPr>
            <w:r w:rsidRPr="000C730C">
              <w:rPr>
                <w:rFonts w:ascii="Arial" w:hAnsi="Arial" w:cs="Arial"/>
                <w:b/>
                <w:sz w:val="20"/>
                <w:szCs w:val="20"/>
              </w:rPr>
              <w:t>Pos.</w:t>
            </w:r>
          </w:p>
        </w:tc>
        <w:tc>
          <w:tcPr>
            <w:tcW w:w="4230" w:type="dxa"/>
          </w:tcPr>
          <w:p w14:paraId="3639D7CF" w14:textId="77777777" w:rsidR="004E65EA" w:rsidRPr="000C730C" w:rsidRDefault="004E65EA" w:rsidP="00050E37">
            <w:pPr>
              <w:rPr>
                <w:rFonts w:ascii="Arial" w:hAnsi="Arial" w:cs="Arial"/>
                <w:b/>
                <w:sz w:val="20"/>
                <w:szCs w:val="20"/>
              </w:rPr>
            </w:pPr>
            <w:r w:rsidRPr="000C730C">
              <w:rPr>
                <w:rFonts w:ascii="Arial" w:hAnsi="Arial" w:cs="Arial"/>
                <w:b/>
                <w:sz w:val="20"/>
                <w:szCs w:val="20"/>
              </w:rPr>
              <w:t>Name</w:t>
            </w:r>
          </w:p>
        </w:tc>
        <w:tc>
          <w:tcPr>
            <w:tcW w:w="2700" w:type="dxa"/>
          </w:tcPr>
          <w:p w14:paraId="6418E7AE" w14:textId="77777777" w:rsidR="004E65EA" w:rsidRPr="000C730C" w:rsidRDefault="004E65EA" w:rsidP="00050E37">
            <w:pPr>
              <w:rPr>
                <w:rFonts w:ascii="Arial" w:hAnsi="Arial" w:cs="Arial"/>
                <w:b/>
                <w:sz w:val="20"/>
                <w:szCs w:val="20"/>
              </w:rPr>
            </w:pPr>
            <w:r w:rsidRPr="000C730C">
              <w:rPr>
                <w:rFonts w:ascii="Arial" w:hAnsi="Arial" w:cs="Arial"/>
                <w:b/>
                <w:sz w:val="20"/>
                <w:szCs w:val="20"/>
              </w:rPr>
              <w:t>Scores</w:t>
            </w:r>
          </w:p>
        </w:tc>
        <w:tc>
          <w:tcPr>
            <w:tcW w:w="1530" w:type="dxa"/>
          </w:tcPr>
          <w:p w14:paraId="2A7CE2FE" w14:textId="77777777" w:rsidR="004E65EA" w:rsidRPr="000C730C" w:rsidRDefault="004E65EA" w:rsidP="00050E37">
            <w:pPr>
              <w:jc w:val="center"/>
              <w:rPr>
                <w:rFonts w:ascii="Arial" w:hAnsi="Arial" w:cs="Arial"/>
                <w:b/>
                <w:sz w:val="20"/>
                <w:szCs w:val="20"/>
              </w:rPr>
            </w:pPr>
            <w:r w:rsidRPr="000C730C">
              <w:rPr>
                <w:rFonts w:ascii="Arial" w:hAnsi="Arial" w:cs="Arial"/>
                <w:b/>
                <w:sz w:val="20"/>
                <w:szCs w:val="20"/>
              </w:rPr>
              <w:t>OOM</w:t>
            </w:r>
          </w:p>
        </w:tc>
      </w:tr>
      <w:tr w:rsidR="004E65EA" w14:paraId="0E254812" w14:textId="77777777" w:rsidTr="00050E37">
        <w:tc>
          <w:tcPr>
            <w:tcW w:w="828" w:type="dxa"/>
          </w:tcPr>
          <w:p w14:paraId="34372C1E" w14:textId="77777777" w:rsidR="004E65EA" w:rsidRPr="000C730C" w:rsidRDefault="004E65EA" w:rsidP="00050E37">
            <w:pPr>
              <w:jc w:val="center"/>
              <w:rPr>
                <w:rFonts w:ascii="Arial" w:hAnsi="Arial" w:cs="Arial"/>
                <w:sz w:val="18"/>
                <w:szCs w:val="18"/>
              </w:rPr>
            </w:pPr>
            <w:r>
              <w:rPr>
                <w:rFonts w:ascii="Arial" w:hAnsi="Arial" w:cs="Arial"/>
                <w:sz w:val="18"/>
                <w:szCs w:val="18"/>
              </w:rPr>
              <w:t>1</w:t>
            </w:r>
          </w:p>
        </w:tc>
        <w:tc>
          <w:tcPr>
            <w:tcW w:w="4230" w:type="dxa"/>
          </w:tcPr>
          <w:p w14:paraId="43A45975" w14:textId="6C6A6DA2" w:rsidR="004E65EA" w:rsidRPr="000C730C" w:rsidRDefault="004E65EA" w:rsidP="00050E37">
            <w:pPr>
              <w:rPr>
                <w:rFonts w:ascii="Arial" w:hAnsi="Arial" w:cs="Arial"/>
                <w:sz w:val="18"/>
                <w:szCs w:val="18"/>
              </w:rPr>
            </w:pPr>
            <w:proofErr w:type="spellStart"/>
            <w:r>
              <w:rPr>
                <w:rFonts w:ascii="Arial" w:hAnsi="Arial" w:cs="Arial"/>
                <w:sz w:val="18"/>
                <w:szCs w:val="18"/>
              </w:rPr>
              <w:t>Tano</w:t>
            </w:r>
            <w:proofErr w:type="spellEnd"/>
            <w:r>
              <w:rPr>
                <w:rFonts w:ascii="Arial" w:hAnsi="Arial" w:cs="Arial"/>
                <w:sz w:val="18"/>
                <w:szCs w:val="18"/>
              </w:rPr>
              <w:t xml:space="preserve"> Goya (Argentina)</w:t>
            </w:r>
          </w:p>
        </w:tc>
        <w:tc>
          <w:tcPr>
            <w:tcW w:w="2700" w:type="dxa"/>
          </w:tcPr>
          <w:p w14:paraId="1308C030" w14:textId="4DBD887A" w:rsidR="004E65EA" w:rsidRDefault="004E65EA" w:rsidP="00050E37">
            <w:pPr>
              <w:rPr>
                <w:rFonts w:ascii="Arial" w:hAnsi="Arial" w:cs="Arial"/>
                <w:sz w:val="18"/>
                <w:szCs w:val="18"/>
              </w:rPr>
            </w:pPr>
            <w:r>
              <w:rPr>
                <w:rFonts w:ascii="Arial" w:hAnsi="Arial" w:cs="Arial"/>
                <w:sz w:val="18"/>
                <w:szCs w:val="18"/>
              </w:rPr>
              <w:t>32</w:t>
            </w:r>
            <w:r>
              <w:rPr>
                <w:rFonts w:ascii="Arial" w:hAnsi="Arial" w:cs="Arial"/>
                <w:sz w:val="18"/>
                <w:szCs w:val="18"/>
              </w:rPr>
              <w:t>-</w:t>
            </w:r>
            <w:r>
              <w:rPr>
                <w:rFonts w:ascii="Arial" w:hAnsi="Arial" w:cs="Arial"/>
                <w:sz w:val="18"/>
                <w:szCs w:val="18"/>
              </w:rPr>
              <w:t>34</w:t>
            </w:r>
            <w:r>
              <w:rPr>
                <w:rFonts w:ascii="Arial" w:hAnsi="Arial" w:cs="Arial"/>
                <w:sz w:val="18"/>
                <w:szCs w:val="18"/>
              </w:rPr>
              <w:t>—</w:t>
            </w:r>
            <w:r>
              <w:rPr>
                <w:rFonts w:ascii="Arial" w:hAnsi="Arial" w:cs="Arial"/>
                <w:sz w:val="18"/>
                <w:szCs w:val="18"/>
              </w:rPr>
              <w:t>66</w:t>
            </w:r>
            <w:r>
              <w:rPr>
                <w:rFonts w:ascii="Arial" w:hAnsi="Arial" w:cs="Arial"/>
                <w:sz w:val="18"/>
                <w:szCs w:val="18"/>
              </w:rPr>
              <w:t xml:space="preserve"> (-</w:t>
            </w:r>
            <w:r>
              <w:rPr>
                <w:rFonts w:ascii="Arial" w:hAnsi="Arial" w:cs="Arial"/>
                <w:sz w:val="18"/>
                <w:szCs w:val="18"/>
              </w:rPr>
              <w:t>6</w:t>
            </w:r>
            <w:r>
              <w:rPr>
                <w:rFonts w:ascii="Arial" w:hAnsi="Arial" w:cs="Arial"/>
                <w:sz w:val="18"/>
                <w:szCs w:val="18"/>
              </w:rPr>
              <w:t>)</w:t>
            </w:r>
          </w:p>
        </w:tc>
        <w:tc>
          <w:tcPr>
            <w:tcW w:w="1530" w:type="dxa"/>
          </w:tcPr>
          <w:p w14:paraId="51C1AD61" w14:textId="643D7373" w:rsidR="004E65EA" w:rsidRDefault="008707C7" w:rsidP="00050E37">
            <w:pPr>
              <w:jc w:val="center"/>
              <w:rPr>
                <w:rFonts w:ascii="Arial" w:hAnsi="Arial" w:cs="Arial"/>
                <w:sz w:val="18"/>
                <w:szCs w:val="18"/>
              </w:rPr>
            </w:pPr>
            <w:r>
              <w:rPr>
                <w:rFonts w:ascii="Arial" w:hAnsi="Arial" w:cs="Arial"/>
                <w:sz w:val="18"/>
                <w:szCs w:val="18"/>
              </w:rPr>
              <w:t>37</w:t>
            </w:r>
          </w:p>
        </w:tc>
      </w:tr>
      <w:tr w:rsidR="004E65EA" w14:paraId="7775148C" w14:textId="77777777" w:rsidTr="00050E37">
        <w:tc>
          <w:tcPr>
            <w:tcW w:w="828" w:type="dxa"/>
          </w:tcPr>
          <w:p w14:paraId="474A883F" w14:textId="67D183BD" w:rsidR="004E65EA" w:rsidRPr="000C730C" w:rsidRDefault="008707C7" w:rsidP="00050E37">
            <w:pPr>
              <w:jc w:val="center"/>
              <w:rPr>
                <w:rFonts w:ascii="Arial" w:hAnsi="Arial" w:cs="Arial"/>
                <w:sz w:val="18"/>
                <w:szCs w:val="18"/>
              </w:rPr>
            </w:pPr>
            <w:r>
              <w:rPr>
                <w:rFonts w:ascii="Arial" w:hAnsi="Arial" w:cs="Arial"/>
                <w:sz w:val="18"/>
                <w:szCs w:val="18"/>
              </w:rPr>
              <w:t>2</w:t>
            </w:r>
          </w:p>
        </w:tc>
        <w:tc>
          <w:tcPr>
            <w:tcW w:w="4230" w:type="dxa"/>
          </w:tcPr>
          <w:p w14:paraId="1159AB16" w14:textId="2705DE9D" w:rsidR="004E65EA" w:rsidRPr="000C730C" w:rsidRDefault="004E65EA" w:rsidP="00050E37">
            <w:pPr>
              <w:rPr>
                <w:rFonts w:ascii="Arial" w:hAnsi="Arial" w:cs="Arial"/>
                <w:sz w:val="18"/>
                <w:szCs w:val="18"/>
              </w:rPr>
            </w:pPr>
            <w:r>
              <w:rPr>
                <w:rFonts w:ascii="Arial" w:hAnsi="Arial" w:cs="Arial"/>
                <w:sz w:val="18"/>
                <w:szCs w:val="18"/>
              </w:rPr>
              <w:t>Clodomiro Carranza (Argentina)</w:t>
            </w:r>
          </w:p>
        </w:tc>
        <w:tc>
          <w:tcPr>
            <w:tcW w:w="2700" w:type="dxa"/>
          </w:tcPr>
          <w:p w14:paraId="3805286F" w14:textId="17186A02" w:rsidR="004E65EA" w:rsidRPr="000C730C" w:rsidRDefault="004E65EA" w:rsidP="00050E37">
            <w:pPr>
              <w:rPr>
                <w:rFonts w:ascii="Arial" w:hAnsi="Arial" w:cs="Arial"/>
                <w:sz w:val="18"/>
                <w:szCs w:val="18"/>
              </w:rPr>
            </w:pPr>
            <w:r>
              <w:rPr>
                <w:rFonts w:ascii="Arial" w:hAnsi="Arial" w:cs="Arial"/>
                <w:sz w:val="18"/>
                <w:szCs w:val="18"/>
              </w:rPr>
              <w:t>35</w:t>
            </w:r>
            <w:r>
              <w:rPr>
                <w:rFonts w:ascii="Arial" w:hAnsi="Arial" w:cs="Arial"/>
                <w:sz w:val="18"/>
                <w:szCs w:val="18"/>
              </w:rPr>
              <w:t>-</w:t>
            </w:r>
            <w:r>
              <w:rPr>
                <w:rFonts w:ascii="Arial" w:hAnsi="Arial" w:cs="Arial"/>
                <w:sz w:val="18"/>
                <w:szCs w:val="18"/>
              </w:rPr>
              <w:t>32</w:t>
            </w:r>
            <w:r>
              <w:rPr>
                <w:rFonts w:ascii="Arial" w:hAnsi="Arial" w:cs="Arial"/>
                <w:sz w:val="18"/>
                <w:szCs w:val="18"/>
              </w:rPr>
              <w:t>—6</w:t>
            </w:r>
            <w:r>
              <w:rPr>
                <w:rFonts w:ascii="Arial" w:hAnsi="Arial" w:cs="Arial"/>
                <w:sz w:val="18"/>
                <w:szCs w:val="18"/>
              </w:rPr>
              <w:t>7</w:t>
            </w:r>
            <w:r>
              <w:rPr>
                <w:rFonts w:ascii="Arial" w:hAnsi="Arial" w:cs="Arial"/>
                <w:sz w:val="18"/>
                <w:szCs w:val="18"/>
              </w:rPr>
              <w:t xml:space="preserve"> (-</w:t>
            </w:r>
            <w:r w:rsidR="008707C7">
              <w:rPr>
                <w:rFonts w:ascii="Arial" w:hAnsi="Arial" w:cs="Arial"/>
                <w:sz w:val="18"/>
                <w:szCs w:val="18"/>
              </w:rPr>
              <w:t>5</w:t>
            </w:r>
            <w:r>
              <w:rPr>
                <w:rFonts w:ascii="Arial" w:hAnsi="Arial" w:cs="Arial"/>
                <w:sz w:val="18"/>
                <w:szCs w:val="18"/>
              </w:rPr>
              <w:t>)</w:t>
            </w:r>
          </w:p>
        </w:tc>
        <w:tc>
          <w:tcPr>
            <w:tcW w:w="1530" w:type="dxa"/>
          </w:tcPr>
          <w:p w14:paraId="38ED0211" w14:textId="24A95B30" w:rsidR="004E65EA" w:rsidRPr="000C730C" w:rsidRDefault="008707C7" w:rsidP="00050E37">
            <w:pPr>
              <w:jc w:val="center"/>
              <w:rPr>
                <w:rFonts w:ascii="Arial" w:hAnsi="Arial" w:cs="Arial"/>
                <w:sz w:val="18"/>
                <w:szCs w:val="18"/>
              </w:rPr>
            </w:pPr>
            <w:r>
              <w:rPr>
                <w:rFonts w:ascii="Arial" w:hAnsi="Arial" w:cs="Arial"/>
                <w:sz w:val="18"/>
                <w:szCs w:val="18"/>
              </w:rPr>
              <w:t>36</w:t>
            </w:r>
          </w:p>
        </w:tc>
      </w:tr>
      <w:tr w:rsidR="008707C7" w14:paraId="74990E4D" w14:textId="77777777" w:rsidTr="00050E37">
        <w:tc>
          <w:tcPr>
            <w:tcW w:w="828" w:type="dxa"/>
          </w:tcPr>
          <w:p w14:paraId="4C2B9556" w14:textId="6BB7E97C" w:rsidR="008707C7" w:rsidRDefault="008707C7" w:rsidP="00050E37">
            <w:pPr>
              <w:jc w:val="center"/>
              <w:rPr>
                <w:rFonts w:ascii="Arial" w:hAnsi="Arial" w:cs="Arial"/>
                <w:sz w:val="18"/>
                <w:szCs w:val="18"/>
              </w:rPr>
            </w:pPr>
            <w:r>
              <w:rPr>
                <w:rFonts w:ascii="Arial" w:hAnsi="Arial" w:cs="Arial"/>
                <w:sz w:val="18"/>
                <w:szCs w:val="18"/>
              </w:rPr>
              <w:t>3</w:t>
            </w:r>
          </w:p>
        </w:tc>
        <w:tc>
          <w:tcPr>
            <w:tcW w:w="4230" w:type="dxa"/>
          </w:tcPr>
          <w:p w14:paraId="3F0CEB7E" w14:textId="354ABE53" w:rsidR="008707C7" w:rsidRDefault="008707C7" w:rsidP="00050E37">
            <w:pPr>
              <w:rPr>
                <w:rFonts w:ascii="Arial" w:hAnsi="Arial" w:cs="Arial"/>
                <w:sz w:val="18"/>
                <w:szCs w:val="18"/>
              </w:rPr>
            </w:pPr>
            <w:r>
              <w:rPr>
                <w:rFonts w:ascii="Arial" w:hAnsi="Arial" w:cs="Arial"/>
                <w:sz w:val="18"/>
                <w:szCs w:val="18"/>
              </w:rPr>
              <w:t>Harry Higgs (U.S.)</w:t>
            </w:r>
          </w:p>
        </w:tc>
        <w:tc>
          <w:tcPr>
            <w:tcW w:w="2700" w:type="dxa"/>
          </w:tcPr>
          <w:p w14:paraId="6DB32626" w14:textId="15C34936" w:rsidR="008707C7" w:rsidRDefault="008707C7" w:rsidP="00050E37">
            <w:pPr>
              <w:rPr>
                <w:rFonts w:ascii="Arial" w:hAnsi="Arial" w:cs="Arial"/>
                <w:sz w:val="18"/>
                <w:szCs w:val="18"/>
              </w:rPr>
            </w:pPr>
            <w:r>
              <w:rPr>
                <w:rFonts w:ascii="Arial" w:hAnsi="Arial" w:cs="Arial"/>
                <w:sz w:val="18"/>
                <w:szCs w:val="18"/>
              </w:rPr>
              <w:t>33-35—68 (-4)</w:t>
            </w:r>
          </w:p>
        </w:tc>
        <w:tc>
          <w:tcPr>
            <w:tcW w:w="1530" w:type="dxa"/>
          </w:tcPr>
          <w:p w14:paraId="0CCB76CB" w14:textId="7FDC4945" w:rsidR="008707C7" w:rsidRDefault="008707C7" w:rsidP="00050E37">
            <w:pPr>
              <w:jc w:val="center"/>
              <w:rPr>
                <w:rFonts w:ascii="Arial" w:hAnsi="Arial" w:cs="Arial"/>
                <w:sz w:val="18"/>
                <w:szCs w:val="18"/>
              </w:rPr>
            </w:pPr>
            <w:r>
              <w:rPr>
                <w:rFonts w:ascii="Arial" w:hAnsi="Arial" w:cs="Arial"/>
                <w:sz w:val="18"/>
                <w:szCs w:val="18"/>
              </w:rPr>
              <w:t>5</w:t>
            </w:r>
          </w:p>
        </w:tc>
      </w:tr>
      <w:tr w:rsidR="004E65EA" w14:paraId="7D33DC39" w14:textId="77777777" w:rsidTr="00050E37">
        <w:tc>
          <w:tcPr>
            <w:tcW w:w="828" w:type="dxa"/>
          </w:tcPr>
          <w:p w14:paraId="61A23EE9" w14:textId="56664304" w:rsidR="004E65EA" w:rsidRPr="000C730C" w:rsidRDefault="004E65EA" w:rsidP="00050E37">
            <w:pPr>
              <w:jc w:val="center"/>
              <w:rPr>
                <w:rFonts w:ascii="Arial" w:hAnsi="Arial" w:cs="Arial"/>
                <w:sz w:val="18"/>
                <w:szCs w:val="18"/>
              </w:rPr>
            </w:pPr>
            <w:r>
              <w:rPr>
                <w:rFonts w:ascii="Arial" w:hAnsi="Arial" w:cs="Arial"/>
                <w:sz w:val="18"/>
                <w:szCs w:val="18"/>
              </w:rPr>
              <w:t>T</w:t>
            </w:r>
            <w:r w:rsidR="008707C7">
              <w:rPr>
                <w:rFonts w:ascii="Arial" w:hAnsi="Arial" w:cs="Arial"/>
                <w:sz w:val="18"/>
                <w:szCs w:val="18"/>
              </w:rPr>
              <w:t>4</w:t>
            </w:r>
          </w:p>
        </w:tc>
        <w:tc>
          <w:tcPr>
            <w:tcW w:w="4230" w:type="dxa"/>
          </w:tcPr>
          <w:p w14:paraId="28545AD2" w14:textId="392A9CEE" w:rsidR="004E65EA" w:rsidRPr="000C730C" w:rsidRDefault="004E65EA" w:rsidP="00050E37">
            <w:pPr>
              <w:rPr>
                <w:rFonts w:ascii="Arial" w:hAnsi="Arial" w:cs="Arial"/>
                <w:sz w:val="18"/>
                <w:szCs w:val="18"/>
              </w:rPr>
            </w:pPr>
            <w:r>
              <w:rPr>
                <w:rFonts w:ascii="Arial" w:hAnsi="Arial" w:cs="Arial"/>
                <w:sz w:val="18"/>
                <w:szCs w:val="18"/>
              </w:rPr>
              <w:t xml:space="preserve">Matthew </w:t>
            </w:r>
            <w:proofErr w:type="spellStart"/>
            <w:r>
              <w:rPr>
                <w:rFonts w:ascii="Arial" w:hAnsi="Arial" w:cs="Arial"/>
                <w:sz w:val="18"/>
                <w:szCs w:val="18"/>
              </w:rPr>
              <w:t>Pinizzotto</w:t>
            </w:r>
            <w:proofErr w:type="spellEnd"/>
            <w:r>
              <w:rPr>
                <w:rFonts w:ascii="Arial" w:hAnsi="Arial" w:cs="Arial"/>
                <w:sz w:val="18"/>
                <w:szCs w:val="18"/>
              </w:rPr>
              <w:t xml:space="preserve"> (U.S.)</w:t>
            </w:r>
          </w:p>
        </w:tc>
        <w:tc>
          <w:tcPr>
            <w:tcW w:w="2700" w:type="dxa"/>
          </w:tcPr>
          <w:p w14:paraId="472CEC87" w14:textId="635EB25B" w:rsidR="004E65EA" w:rsidRPr="000C730C" w:rsidRDefault="004E65EA" w:rsidP="00050E37">
            <w:pPr>
              <w:rPr>
                <w:rFonts w:ascii="Arial" w:hAnsi="Arial" w:cs="Arial"/>
                <w:sz w:val="18"/>
                <w:szCs w:val="18"/>
              </w:rPr>
            </w:pPr>
            <w:r>
              <w:rPr>
                <w:rFonts w:ascii="Arial" w:hAnsi="Arial" w:cs="Arial"/>
                <w:sz w:val="18"/>
                <w:szCs w:val="18"/>
              </w:rPr>
              <w:t>35</w:t>
            </w:r>
            <w:r>
              <w:rPr>
                <w:rFonts w:ascii="Arial" w:hAnsi="Arial" w:cs="Arial"/>
                <w:sz w:val="18"/>
                <w:szCs w:val="18"/>
              </w:rPr>
              <w:t>-34—6</w:t>
            </w:r>
            <w:r>
              <w:rPr>
                <w:rFonts w:ascii="Arial" w:hAnsi="Arial" w:cs="Arial"/>
                <w:sz w:val="18"/>
                <w:szCs w:val="18"/>
              </w:rPr>
              <w:t>9</w:t>
            </w:r>
            <w:r>
              <w:rPr>
                <w:rFonts w:ascii="Arial" w:hAnsi="Arial" w:cs="Arial"/>
                <w:sz w:val="18"/>
                <w:szCs w:val="18"/>
              </w:rPr>
              <w:t xml:space="preserve"> (-</w:t>
            </w:r>
            <w:r>
              <w:rPr>
                <w:rFonts w:ascii="Arial" w:hAnsi="Arial" w:cs="Arial"/>
                <w:sz w:val="18"/>
                <w:szCs w:val="18"/>
              </w:rPr>
              <w:t>3</w:t>
            </w:r>
            <w:r>
              <w:rPr>
                <w:rFonts w:ascii="Arial" w:hAnsi="Arial" w:cs="Arial"/>
                <w:sz w:val="18"/>
                <w:szCs w:val="18"/>
              </w:rPr>
              <w:t>)</w:t>
            </w:r>
          </w:p>
        </w:tc>
        <w:tc>
          <w:tcPr>
            <w:tcW w:w="1530" w:type="dxa"/>
          </w:tcPr>
          <w:p w14:paraId="217AC066" w14:textId="6B7B319A" w:rsidR="004E65EA" w:rsidRPr="000C730C" w:rsidRDefault="008707C7" w:rsidP="00050E37">
            <w:pPr>
              <w:jc w:val="center"/>
              <w:rPr>
                <w:rFonts w:ascii="Arial" w:hAnsi="Arial" w:cs="Arial"/>
                <w:sz w:val="18"/>
                <w:szCs w:val="18"/>
              </w:rPr>
            </w:pPr>
            <w:r>
              <w:rPr>
                <w:rFonts w:ascii="Arial" w:hAnsi="Arial" w:cs="Arial"/>
                <w:sz w:val="18"/>
                <w:szCs w:val="18"/>
              </w:rPr>
              <w:t>98</w:t>
            </w:r>
          </w:p>
        </w:tc>
      </w:tr>
      <w:tr w:rsidR="004E65EA" w14:paraId="156A3C8A" w14:textId="77777777" w:rsidTr="00050E37">
        <w:tc>
          <w:tcPr>
            <w:tcW w:w="828" w:type="dxa"/>
          </w:tcPr>
          <w:p w14:paraId="4994685F" w14:textId="3FD45C2B" w:rsidR="004E65EA" w:rsidRPr="000C730C" w:rsidRDefault="004E65EA" w:rsidP="00050E37">
            <w:pPr>
              <w:jc w:val="center"/>
              <w:rPr>
                <w:rFonts w:ascii="Arial" w:hAnsi="Arial" w:cs="Arial"/>
                <w:sz w:val="18"/>
                <w:szCs w:val="18"/>
              </w:rPr>
            </w:pPr>
            <w:r>
              <w:rPr>
                <w:rFonts w:ascii="Arial" w:hAnsi="Arial" w:cs="Arial"/>
                <w:sz w:val="18"/>
                <w:szCs w:val="18"/>
              </w:rPr>
              <w:t>T</w:t>
            </w:r>
            <w:r w:rsidR="008707C7">
              <w:rPr>
                <w:rFonts w:ascii="Arial" w:hAnsi="Arial" w:cs="Arial"/>
                <w:sz w:val="18"/>
                <w:szCs w:val="18"/>
              </w:rPr>
              <w:t>4</w:t>
            </w:r>
          </w:p>
        </w:tc>
        <w:tc>
          <w:tcPr>
            <w:tcW w:w="4230" w:type="dxa"/>
          </w:tcPr>
          <w:p w14:paraId="5D74F37B" w14:textId="6A54ED9E" w:rsidR="004E65EA" w:rsidRPr="000C730C" w:rsidRDefault="004E65EA" w:rsidP="00050E37">
            <w:pPr>
              <w:rPr>
                <w:rFonts w:ascii="Arial" w:hAnsi="Arial" w:cs="Arial"/>
                <w:sz w:val="18"/>
                <w:szCs w:val="18"/>
              </w:rPr>
            </w:pPr>
            <w:r>
              <w:rPr>
                <w:rFonts w:ascii="Arial" w:hAnsi="Arial" w:cs="Arial"/>
                <w:sz w:val="18"/>
                <w:szCs w:val="18"/>
              </w:rPr>
              <w:t xml:space="preserve">Matias </w:t>
            </w:r>
            <w:proofErr w:type="spellStart"/>
            <w:r>
              <w:rPr>
                <w:rFonts w:ascii="Arial" w:hAnsi="Arial" w:cs="Arial"/>
                <w:sz w:val="18"/>
                <w:szCs w:val="18"/>
              </w:rPr>
              <w:t>Simaski</w:t>
            </w:r>
            <w:proofErr w:type="spellEnd"/>
            <w:r>
              <w:rPr>
                <w:rFonts w:ascii="Arial" w:hAnsi="Arial" w:cs="Arial"/>
                <w:sz w:val="18"/>
                <w:szCs w:val="18"/>
              </w:rPr>
              <w:t xml:space="preserve"> (Argentina)</w:t>
            </w:r>
          </w:p>
        </w:tc>
        <w:tc>
          <w:tcPr>
            <w:tcW w:w="2700" w:type="dxa"/>
          </w:tcPr>
          <w:p w14:paraId="6AAD8FE5" w14:textId="0EFF3BC6" w:rsidR="004E65EA" w:rsidRPr="000C730C" w:rsidRDefault="004E65EA" w:rsidP="00050E37">
            <w:pPr>
              <w:rPr>
                <w:rFonts w:ascii="Arial" w:hAnsi="Arial" w:cs="Arial"/>
                <w:sz w:val="18"/>
                <w:szCs w:val="18"/>
              </w:rPr>
            </w:pPr>
            <w:r>
              <w:rPr>
                <w:rFonts w:ascii="Arial" w:hAnsi="Arial" w:cs="Arial"/>
                <w:sz w:val="18"/>
                <w:szCs w:val="18"/>
              </w:rPr>
              <w:t>34</w:t>
            </w:r>
            <w:r>
              <w:rPr>
                <w:rFonts w:ascii="Arial" w:hAnsi="Arial" w:cs="Arial"/>
                <w:sz w:val="18"/>
                <w:szCs w:val="18"/>
              </w:rPr>
              <w:t>-3</w:t>
            </w:r>
            <w:r>
              <w:rPr>
                <w:rFonts w:ascii="Arial" w:hAnsi="Arial" w:cs="Arial"/>
                <w:sz w:val="18"/>
                <w:szCs w:val="18"/>
              </w:rPr>
              <w:t>5</w:t>
            </w:r>
            <w:r>
              <w:rPr>
                <w:rFonts w:ascii="Arial" w:hAnsi="Arial" w:cs="Arial"/>
                <w:sz w:val="18"/>
                <w:szCs w:val="18"/>
              </w:rPr>
              <w:t>—</w:t>
            </w:r>
            <w:r>
              <w:rPr>
                <w:rFonts w:ascii="Arial" w:hAnsi="Arial" w:cs="Arial"/>
                <w:sz w:val="18"/>
                <w:szCs w:val="18"/>
              </w:rPr>
              <w:t>69</w:t>
            </w:r>
            <w:r>
              <w:rPr>
                <w:rFonts w:ascii="Arial" w:hAnsi="Arial" w:cs="Arial"/>
                <w:sz w:val="18"/>
                <w:szCs w:val="18"/>
              </w:rPr>
              <w:t xml:space="preserve"> (-</w:t>
            </w:r>
            <w:r>
              <w:rPr>
                <w:rFonts w:ascii="Arial" w:hAnsi="Arial" w:cs="Arial"/>
                <w:sz w:val="18"/>
                <w:szCs w:val="18"/>
              </w:rPr>
              <w:t>3</w:t>
            </w:r>
            <w:r>
              <w:rPr>
                <w:rFonts w:ascii="Arial" w:hAnsi="Arial" w:cs="Arial"/>
                <w:sz w:val="18"/>
                <w:szCs w:val="18"/>
              </w:rPr>
              <w:t>)</w:t>
            </w:r>
          </w:p>
        </w:tc>
        <w:tc>
          <w:tcPr>
            <w:tcW w:w="1530" w:type="dxa"/>
          </w:tcPr>
          <w:p w14:paraId="1F7638B5" w14:textId="761A84D8" w:rsidR="004E65EA" w:rsidRPr="000C730C" w:rsidRDefault="008707C7" w:rsidP="00050E37">
            <w:pPr>
              <w:jc w:val="center"/>
              <w:rPr>
                <w:rFonts w:ascii="Arial" w:hAnsi="Arial" w:cs="Arial"/>
                <w:sz w:val="18"/>
                <w:szCs w:val="18"/>
              </w:rPr>
            </w:pPr>
            <w:r>
              <w:rPr>
                <w:rFonts w:ascii="Arial" w:hAnsi="Arial" w:cs="Arial"/>
                <w:sz w:val="18"/>
                <w:szCs w:val="18"/>
              </w:rPr>
              <w:t>70</w:t>
            </w:r>
          </w:p>
        </w:tc>
      </w:tr>
      <w:tr w:rsidR="004E65EA" w14:paraId="59C88DE2" w14:textId="77777777" w:rsidTr="00050E37">
        <w:tc>
          <w:tcPr>
            <w:tcW w:w="828" w:type="dxa"/>
          </w:tcPr>
          <w:p w14:paraId="27A14A3C" w14:textId="59D6856C" w:rsidR="004E65EA" w:rsidRPr="000C730C" w:rsidRDefault="004E65EA" w:rsidP="004E65EA">
            <w:pPr>
              <w:jc w:val="center"/>
              <w:rPr>
                <w:rFonts w:ascii="Arial" w:hAnsi="Arial" w:cs="Arial"/>
                <w:sz w:val="18"/>
                <w:szCs w:val="18"/>
              </w:rPr>
            </w:pPr>
            <w:r>
              <w:rPr>
                <w:rFonts w:ascii="Arial" w:hAnsi="Arial" w:cs="Arial"/>
                <w:sz w:val="18"/>
                <w:szCs w:val="18"/>
              </w:rPr>
              <w:t>T</w:t>
            </w:r>
            <w:r w:rsidR="008707C7">
              <w:rPr>
                <w:rFonts w:ascii="Arial" w:hAnsi="Arial" w:cs="Arial"/>
                <w:sz w:val="18"/>
                <w:szCs w:val="18"/>
              </w:rPr>
              <w:t>4</w:t>
            </w:r>
          </w:p>
        </w:tc>
        <w:tc>
          <w:tcPr>
            <w:tcW w:w="4230" w:type="dxa"/>
          </w:tcPr>
          <w:p w14:paraId="71A999F0" w14:textId="74DFD572" w:rsidR="004E65EA" w:rsidRPr="000C730C" w:rsidRDefault="004E65EA" w:rsidP="004E65EA">
            <w:pPr>
              <w:rPr>
                <w:rFonts w:ascii="Arial" w:hAnsi="Arial" w:cs="Arial"/>
                <w:sz w:val="18"/>
                <w:szCs w:val="18"/>
              </w:rPr>
            </w:pPr>
            <w:r w:rsidRPr="000C730C">
              <w:rPr>
                <w:rFonts w:ascii="Arial" w:hAnsi="Arial" w:cs="Arial"/>
                <w:sz w:val="18"/>
                <w:szCs w:val="18"/>
              </w:rPr>
              <w:t>Victor Lange (South Africa)</w:t>
            </w:r>
          </w:p>
        </w:tc>
        <w:tc>
          <w:tcPr>
            <w:tcW w:w="2700" w:type="dxa"/>
          </w:tcPr>
          <w:p w14:paraId="12838A98" w14:textId="32B626D0" w:rsidR="004E65EA" w:rsidRPr="000C730C" w:rsidRDefault="004E65EA" w:rsidP="004E65EA">
            <w:pPr>
              <w:rPr>
                <w:rFonts w:ascii="Arial" w:hAnsi="Arial" w:cs="Arial"/>
                <w:sz w:val="18"/>
                <w:szCs w:val="18"/>
              </w:rPr>
            </w:pPr>
            <w:r>
              <w:rPr>
                <w:rFonts w:ascii="Arial" w:hAnsi="Arial" w:cs="Arial"/>
                <w:sz w:val="18"/>
                <w:szCs w:val="18"/>
              </w:rPr>
              <w:t>33</w:t>
            </w:r>
            <w:r>
              <w:rPr>
                <w:rFonts w:ascii="Arial" w:hAnsi="Arial" w:cs="Arial"/>
                <w:sz w:val="18"/>
                <w:szCs w:val="18"/>
              </w:rPr>
              <w:t>-3</w:t>
            </w:r>
            <w:r>
              <w:rPr>
                <w:rFonts w:ascii="Arial" w:hAnsi="Arial" w:cs="Arial"/>
                <w:sz w:val="18"/>
                <w:szCs w:val="18"/>
              </w:rPr>
              <w:t>6</w:t>
            </w:r>
            <w:r>
              <w:rPr>
                <w:rFonts w:ascii="Arial" w:hAnsi="Arial" w:cs="Arial"/>
                <w:sz w:val="18"/>
                <w:szCs w:val="18"/>
              </w:rPr>
              <w:t>—</w:t>
            </w:r>
            <w:r>
              <w:rPr>
                <w:rFonts w:ascii="Arial" w:hAnsi="Arial" w:cs="Arial"/>
                <w:sz w:val="18"/>
                <w:szCs w:val="18"/>
              </w:rPr>
              <w:t>69</w:t>
            </w:r>
            <w:r>
              <w:rPr>
                <w:rFonts w:ascii="Arial" w:hAnsi="Arial" w:cs="Arial"/>
                <w:sz w:val="18"/>
                <w:szCs w:val="18"/>
              </w:rPr>
              <w:t xml:space="preserve"> (-</w:t>
            </w:r>
            <w:r>
              <w:rPr>
                <w:rFonts w:ascii="Arial" w:hAnsi="Arial" w:cs="Arial"/>
                <w:sz w:val="18"/>
                <w:szCs w:val="18"/>
              </w:rPr>
              <w:t>3</w:t>
            </w:r>
            <w:r>
              <w:rPr>
                <w:rFonts w:ascii="Arial" w:hAnsi="Arial" w:cs="Arial"/>
                <w:sz w:val="18"/>
                <w:szCs w:val="18"/>
              </w:rPr>
              <w:t>)</w:t>
            </w:r>
          </w:p>
        </w:tc>
        <w:tc>
          <w:tcPr>
            <w:tcW w:w="1530" w:type="dxa"/>
          </w:tcPr>
          <w:p w14:paraId="5B68AD2D" w14:textId="197092EF" w:rsidR="004E65EA" w:rsidRPr="000C730C" w:rsidRDefault="008707C7" w:rsidP="004E65EA">
            <w:pPr>
              <w:jc w:val="center"/>
              <w:rPr>
                <w:rFonts w:ascii="Arial" w:hAnsi="Arial" w:cs="Arial"/>
                <w:sz w:val="18"/>
                <w:szCs w:val="18"/>
              </w:rPr>
            </w:pPr>
            <w:r>
              <w:rPr>
                <w:rFonts w:ascii="Arial" w:hAnsi="Arial" w:cs="Arial"/>
                <w:sz w:val="18"/>
                <w:szCs w:val="18"/>
              </w:rPr>
              <w:t>118</w:t>
            </w:r>
          </w:p>
        </w:tc>
      </w:tr>
    </w:tbl>
    <w:p w14:paraId="3F335901" w14:textId="77777777" w:rsidR="004E65EA" w:rsidRDefault="004E65EA" w:rsidP="004E65EA">
      <w:pPr>
        <w:rPr>
          <w:rFonts w:ascii="Arial" w:hAnsi="Arial" w:cs="Arial"/>
        </w:rPr>
      </w:pPr>
    </w:p>
    <w:p w14:paraId="2FEA470B" w14:textId="77777777" w:rsidR="004E65EA" w:rsidRDefault="004E65EA" w:rsidP="004E65EA">
      <w:pPr>
        <w:jc w:val="center"/>
        <w:rPr>
          <w:b/>
        </w:rPr>
      </w:pPr>
    </w:p>
    <w:p w14:paraId="49B43601" w14:textId="69FFC195" w:rsidR="004E65EA" w:rsidRDefault="00765BA2" w:rsidP="004E65EA">
      <w:pPr>
        <w:jc w:val="center"/>
        <w:rPr>
          <w:b/>
        </w:rPr>
      </w:pPr>
      <w:r>
        <w:rPr>
          <w:b/>
        </w:rPr>
        <w:t>Goya stays hot, takes lead in Argentina</w:t>
      </w:r>
    </w:p>
    <w:p w14:paraId="2188A95E" w14:textId="77777777" w:rsidR="004E65EA" w:rsidRDefault="004E65EA" w:rsidP="004E65EA">
      <w:pPr>
        <w:rPr>
          <w:b/>
        </w:rPr>
      </w:pPr>
    </w:p>
    <w:p w14:paraId="36CC9257" w14:textId="39E7B153" w:rsidR="004E65EA" w:rsidRDefault="004E65EA" w:rsidP="004E65EA">
      <w:pPr>
        <w:spacing w:after="200"/>
      </w:pPr>
      <w:r>
        <w:t>NEUQUEN, Argentina</w:t>
      </w:r>
      <w:r w:rsidRPr="00A3402C">
        <w:t>—</w:t>
      </w:r>
      <w:proofErr w:type="spellStart"/>
      <w:r w:rsidR="008707C7">
        <w:t>Tano</w:t>
      </w:r>
      <w:proofErr w:type="spellEnd"/>
      <w:r w:rsidR="008707C7">
        <w:t xml:space="preserve"> Goya has made the most of his limited PGA TOUR </w:t>
      </w:r>
      <w:proofErr w:type="spellStart"/>
      <w:r w:rsidR="008707C7">
        <w:t>Latinoamerica</w:t>
      </w:r>
      <w:proofErr w:type="spellEnd"/>
      <w:r w:rsidR="008707C7">
        <w:t xml:space="preserve"> opportunities already this season, and nothing much changed Thursday during the first round of the </w:t>
      </w:r>
      <w:proofErr w:type="spellStart"/>
      <w:r w:rsidR="008707C7">
        <w:t>Neuquen</w:t>
      </w:r>
      <w:proofErr w:type="spellEnd"/>
      <w:r w:rsidR="008707C7">
        <w:t xml:space="preserve"> Argentina Classic. Goya </w:t>
      </w:r>
      <w:r w:rsidR="00765BA2">
        <w:t xml:space="preserve">came in hot and stayed that way, shooting </w:t>
      </w:r>
      <w:r w:rsidR="008707C7">
        <w:t xml:space="preserve">a 6-under 66 at </w:t>
      </w:r>
      <w:proofErr w:type="spellStart"/>
      <w:r w:rsidR="008707C7">
        <w:t>Chapelco</w:t>
      </w:r>
      <w:proofErr w:type="spellEnd"/>
      <w:r w:rsidR="00765BA2">
        <w:t xml:space="preserve"> Golf and Resort</w:t>
      </w:r>
      <w:r w:rsidR="008707C7">
        <w:t xml:space="preserve"> to take a one-shot lead over fellow Argentine and playing partner Clodomiro Carranza. Harry Higgs, the Tour’s most recent winner—at the Diners Club Peru Open—is alone in third two shots behind Goya. </w:t>
      </w:r>
    </w:p>
    <w:p w14:paraId="52DFCDD4" w14:textId="47A2C695" w:rsidR="008707C7" w:rsidRDefault="008707C7" w:rsidP="004E65EA">
      <w:pPr>
        <w:spacing w:after="200"/>
      </w:pPr>
      <w:r>
        <w:t xml:space="preserve">After splitting his time this season in Europe, on both the European Tour and the European Challenge Tour, Goya returned to Latin America figuring he might give his game a bit of a rest. Then a couple of invitations to play materialized, </w:t>
      </w:r>
      <w:r w:rsidR="00EC211F">
        <w:t>and it’s been a whole lot of under-par scores</w:t>
      </w:r>
      <w:r w:rsidR="00E7296B">
        <w:t xml:space="preserve"> since</w:t>
      </w:r>
      <w:r w:rsidR="00EC211F">
        <w:t>. Goya tied for 19th at the San Luis Championship</w:t>
      </w:r>
      <w:r w:rsidR="00E7296B">
        <w:t xml:space="preserve"> in Mexico</w:t>
      </w:r>
      <w:r w:rsidR="00EC211F">
        <w:t xml:space="preserve">, was a runner-up finisher at the Volvo Chile Open before tying for sixth at the Diners Club Peru Open. In that three-tournament, 12-round stretch, 11 of his 12 rounds have been under-par, with eight of them in the 60s. It was another sub-70 round here in the first of consecutive events in Argentina. </w:t>
      </w:r>
    </w:p>
    <w:p w14:paraId="4CC33A13" w14:textId="655EEA31" w:rsidR="00EC211F" w:rsidRDefault="00EC211F" w:rsidP="004E65EA">
      <w:pPr>
        <w:spacing w:after="200"/>
      </w:pPr>
      <w:r>
        <w:t xml:space="preserve">Goya opened his round with a birdie at the par-5 10th and made three more birdies on his remaining par-5s. He made the turn to his second nine at 2-under and reeled off three consecutive birdies on his 10th, 11th and 12th holes (Nos. 1, 2 and 3). </w:t>
      </w:r>
      <w:r w:rsidR="00E7296B">
        <w:t>Goya’s</w:t>
      </w:r>
      <w:r>
        <w:t xml:space="preserve"> lone bogey of the day came at No. 16. </w:t>
      </w:r>
    </w:p>
    <w:p w14:paraId="3F05BBF5" w14:textId="60D4229D" w:rsidR="00EC211F" w:rsidRDefault="00EC211F" w:rsidP="004E65EA">
      <w:pPr>
        <w:spacing w:after="200"/>
      </w:pPr>
      <w:r>
        <w:t xml:space="preserve">At 37th on the Order of Merit with three tournaments to play, Goya’s </w:t>
      </w:r>
      <w:r w:rsidR="00E7296B">
        <w:t xml:space="preserve">current </w:t>
      </w:r>
      <w:r>
        <w:t xml:space="preserve">goal </w:t>
      </w:r>
      <w:r w:rsidR="00E7296B">
        <w:t>i</w:t>
      </w:r>
      <w:r>
        <w:t>s to finish inside the top 10 so he can qualify for Web.com Tour Qualifying Tournament</w:t>
      </w:r>
      <w:r w:rsidR="00E7296B">
        <w:t xml:space="preserve"> next month</w:t>
      </w:r>
      <w:r>
        <w:t xml:space="preserve">. Beyond that, finishing </w:t>
      </w:r>
      <w:r w:rsidR="00E7296B">
        <w:t>as one of the</w:t>
      </w:r>
      <w:r>
        <w:t xml:space="preserve"> </w:t>
      </w:r>
      <w:proofErr w:type="spellStart"/>
      <w:r>
        <w:t>the</w:t>
      </w:r>
      <w:proofErr w:type="spellEnd"/>
      <w:r>
        <w:t xml:space="preserve"> top</w:t>
      </w:r>
      <w:r w:rsidR="00E7296B">
        <w:t>-</w:t>
      </w:r>
      <w:r>
        <w:t xml:space="preserve">five </w:t>
      </w:r>
      <w:r w:rsidR="00E7296B">
        <w:t xml:space="preserve">money-winners </w:t>
      </w:r>
      <w:r>
        <w:t xml:space="preserve">would give him immediate Web.com Tour membership. And a win would suddenly put him in the mix as a player who could win the money title. The 30-year-old from Alta </w:t>
      </w:r>
      <w:proofErr w:type="spellStart"/>
      <w:r>
        <w:t>Gracia</w:t>
      </w:r>
      <w:proofErr w:type="spellEnd"/>
      <w:r>
        <w:t xml:space="preserve"> did nothing in the opening round to diminish those goals. </w:t>
      </w:r>
    </w:p>
    <w:p w14:paraId="4497E301" w14:textId="33D5BC4A" w:rsidR="004E65EA" w:rsidRPr="00737159" w:rsidRDefault="004E65EA" w:rsidP="004E65EA">
      <w:r w:rsidRPr="00737159">
        <w:rPr>
          <w:b/>
        </w:rPr>
        <w:t xml:space="preserve">Did you know </w:t>
      </w:r>
      <w:proofErr w:type="spellStart"/>
      <w:r w:rsidR="008707C7">
        <w:rPr>
          <w:b/>
        </w:rPr>
        <w:t>Tano</w:t>
      </w:r>
      <w:proofErr w:type="spellEnd"/>
      <w:r w:rsidR="008707C7">
        <w:rPr>
          <w:b/>
        </w:rPr>
        <w:t xml:space="preserve"> Goya</w:t>
      </w:r>
      <w:r w:rsidR="00EC211F">
        <w:rPr>
          <w:b/>
        </w:rPr>
        <w:t xml:space="preserve"> </w:t>
      </w:r>
      <w:r w:rsidR="00EC211F" w:rsidRPr="00EC211F">
        <w:t>h</w:t>
      </w:r>
      <w:r w:rsidRPr="00EC211F">
        <w:t>ad</w:t>
      </w:r>
      <w:r w:rsidRPr="00737159">
        <w:t xml:space="preserve"> </w:t>
      </w:r>
      <w:r w:rsidR="00EC211F">
        <w:t xml:space="preserve">his two best performances in Europe in back-to-back starts in May and June? He tied for 15th at the Challenge de </w:t>
      </w:r>
      <w:proofErr w:type="spellStart"/>
      <w:r w:rsidR="00EC211F">
        <w:t>Espana</w:t>
      </w:r>
      <w:proofErr w:type="spellEnd"/>
      <w:r w:rsidR="00EC211F">
        <w:t xml:space="preserve"> on the European Tour then turned around and tied for 19th at the Challenge Tour’s Scottish Hydro Challenge.</w:t>
      </w:r>
      <w:r w:rsidRPr="00737159">
        <w:t xml:space="preserve"> </w:t>
      </w:r>
    </w:p>
    <w:p w14:paraId="11EC76E8" w14:textId="77777777" w:rsidR="004E65EA" w:rsidRPr="00EE2CE1" w:rsidRDefault="004E65EA" w:rsidP="004E65EA">
      <w:pPr>
        <w:rPr>
          <w:color w:val="FF0000"/>
        </w:rPr>
      </w:pPr>
    </w:p>
    <w:p w14:paraId="379A5815" w14:textId="77777777" w:rsidR="004E65EA" w:rsidRDefault="004E65EA" w:rsidP="004E65EA">
      <w:pPr>
        <w:rPr>
          <w:b/>
        </w:rPr>
      </w:pPr>
      <w:r>
        <w:rPr>
          <w:b/>
        </w:rPr>
        <w:t>Key Information</w:t>
      </w:r>
    </w:p>
    <w:p w14:paraId="3731E124" w14:textId="0ADE62AC" w:rsidR="004E65EA" w:rsidRPr="004435FD" w:rsidRDefault="004435FD" w:rsidP="004E65EA">
      <w:r w:rsidRPr="004435FD">
        <w:t xml:space="preserve">Harry Higgs turned in his fifth consecutive under-par round with his opening 68. In his last 11 rounds, dating to the third round of the San Luis Championship, only a 2-over 73 in the final round of the Volvo Chile Open stopped the streak. </w:t>
      </w:r>
    </w:p>
    <w:p w14:paraId="0F96EECF" w14:textId="77777777" w:rsidR="004E65EA" w:rsidRPr="00EC211F" w:rsidRDefault="004E65EA" w:rsidP="004E65EA">
      <w:pPr>
        <w:rPr>
          <w:color w:val="FF0000"/>
        </w:rPr>
      </w:pPr>
    </w:p>
    <w:p w14:paraId="2C542EAD" w14:textId="0A80C653" w:rsidR="004E65EA" w:rsidRPr="00765BA2" w:rsidRDefault="00765BA2" w:rsidP="004E65EA">
      <w:r w:rsidRPr="00765BA2">
        <w:t xml:space="preserve">Order of Merit leader Nicolas </w:t>
      </w:r>
      <w:proofErr w:type="spellStart"/>
      <w:r w:rsidRPr="00765BA2">
        <w:t>Echavarria</w:t>
      </w:r>
      <w:proofErr w:type="spellEnd"/>
      <w:r w:rsidRPr="00765BA2">
        <w:t xml:space="preserve"> had a solid start to his tournament, shooting an even-par 72, leaving him tied for 15th after the first round. </w:t>
      </w:r>
      <w:r>
        <w:t xml:space="preserve">Marcelo Rozo, No. 2 on the Order of Merit, struggled to an opening 75 and is tied for 47th. </w:t>
      </w:r>
    </w:p>
    <w:p w14:paraId="348F7485" w14:textId="294DCDCA" w:rsidR="004E65EA" w:rsidRDefault="004E65EA" w:rsidP="004E65EA">
      <w:pPr>
        <w:rPr>
          <w:color w:val="FF0000"/>
        </w:rPr>
      </w:pPr>
    </w:p>
    <w:p w14:paraId="7E75EBB4" w14:textId="023B3599" w:rsidR="004E65EA" w:rsidRDefault="00765BA2" w:rsidP="004E65EA">
      <w:r w:rsidRPr="00765BA2">
        <w:t xml:space="preserve">There are eight Argentine players in the top 10 after 18 holes. Besides leader </w:t>
      </w:r>
      <w:proofErr w:type="spellStart"/>
      <w:r w:rsidRPr="00765BA2">
        <w:t>Tano</w:t>
      </w:r>
      <w:proofErr w:type="spellEnd"/>
      <w:r w:rsidRPr="00765BA2">
        <w:t xml:space="preserve"> Goya and Clodomiro Carranza, alone in second, the others are Matias </w:t>
      </w:r>
      <w:proofErr w:type="spellStart"/>
      <w:r w:rsidRPr="00765BA2">
        <w:t>Simaski</w:t>
      </w:r>
      <w:proofErr w:type="spellEnd"/>
      <w:r w:rsidRPr="00765BA2">
        <w:t xml:space="preserve"> (tied for fourth), Andre Gallegos and Cesar Agustin Costilla (tied for seventh) and Tomas </w:t>
      </w:r>
      <w:proofErr w:type="spellStart"/>
      <w:r w:rsidRPr="00765BA2">
        <w:t>Beitia</w:t>
      </w:r>
      <w:proofErr w:type="spellEnd"/>
      <w:r w:rsidRPr="00765BA2">
        <w:t xml:space="preserve">, Ignacio Marino and Jorge Monroy (tied for ninth). </w:t>
      </w:r>
    </w:p>
    <w:p w14:paraId="3483E222" w14:textId="42870AFF" w:rsidR="00765BA2" w:rsidRDefault="00765BA2" w:rsidP="004E65EA"/>
    <w:p w14:paraId="51BD9E8B" w14:textId="0DE70217" w:rsidR="00765BA2" w:rsidRDefault="00765BA2" w:rsidP="004E65EA">
      <w:r>
        <w:t xml:space="preserve">Clodomiro Carranza will enter the second round alone in second place. The six-year professional won in his rookie season, at the 2012 Brazil Open. He is winless since then, although he won two 2012 tournaments in his native Argentina to go with his 2008 Tour de las Americas win at the Carlos Franco Invitational. </w:t>
      </w:r>
    </w:p>
    <w:p w14:paraId="7247E453" w14:textId="4B0F384A" w:rsidR="00765BA2" w:rsidRDefault="00765BA2" w:rsidP="004E65EA"/>
    <w:p w14:paraId="21EF5DB4" w14:textId="3B96F550" w:rsidR="00765BA2" w:rsidRDefault="00765BA2" w:rsidP="004E65EA">
      <w:r>
        <w:t xml:space="preserve">Matthew </w:t>
      </w:r>
      <w:proofErr w:type="spellStart"/>
      <w:r>
        <w:t>Pinizzoto</w:t>
      </w:r>
      <w:proofErr w:type="spellEnd"/>
      <w:r>
        <w:t xml:space="preserve"> had a solid start to his </w:t>
      </w:r>
      <w:proofErr w:type="spellStart"/>
      <w:r>
        <w:t>Neuquen</w:t>
      </w:r>
      <w:proofErr w:type="spellEnd"/>
      <w:r>
        <w:t xml:space="preserve"> Argentina Classic, shooting a 3-under 69. He’s tied with Matias </w:t>
      </w:r>
      <w:proofErr w:type="spellStart"/>
      <w:r>
        <w:t>Simaski</w:t>
      </w:r>
      <w:proofErr w:type="spellEnd"/>
      <w:r>
        <w:t xml:space="preserve"> and Victor Lange in fourth place. </w:t>
      </w:r>
      <w:proofErr w:type="spellStart"/>
      <w:r>
        <w:t>Pinizzoto</w:t>
      </w:r>
      <w:proofErr w:type="spellEnd"/>
      <w:r>
        <w:t xml:space="preserve"> has never won a PGA TOUR </w:t>
      </w:r>
      <w:proofErr w:type="spellStart"/>
      <w:r>
        <w:t>Latinoamerica</w:t>
      </w:r>
      <w:proofErr w:type="spellEnd"/>
      <w:r>
        <w:t xml:space="preserve"> tournament, his best finish a tie for 10th at this year’s 59th Abierto </w:t>
      </w:r>
      <w:proofErr w:type="spellStart"/>
      <w:r>
        <w:t>Mexicano</w:t>
      </w:r>
      <w:proofErr w:type="spellEnd"/>
      <w:r>
        <w:t xml:space="preserve"> de Golf. This is </w:t>
      </w:r>
      <w:proofErr w:type="spellStart"/>
      <w:r>
        <w:t>Pinizzoto’s</w:t>
      </w:r>
      <w:proofErr w:type="spellEnd"/>
      <w:r>
        <w:t xml:space="preserve"> 15th career PGA TOUR </w:t>
      </w:r>
      <w:proofErr w:type="spellStart"/>
      <w:r>
        <w:t>Latinoamerica</w:t>
      </w:r>
      <w:proofErr w:type="spellEnd"/>
      <w:r>
        <w:t xml:space="preserve"> start. There were an additional eight even-par scores. </w:t>
      </w:r>
    </w:p>
    <w:p w14:paraId="06FE25AF" w14:textId="5EF86504" w:rsidR="00765BA2" w:rsidRDefault="00765BA2" w:rsidP="004E65EA"/>
    <w:p w14:paraId="1127C206" w14:textId="710F645B" w:rsidR="004E65EA" w:rsidRPr="00EC211F" w:rsidRDefault="00765BA2" w:rsidP="004E65EA">
      <w:pPr>
        <w:rPr>
          <w:color w:val="FF0000"/>
        </w:rPr>
      </w:pPr>
      <w:r>
        <w:t>With difficult scoring conditions because of the wind, there were only 14 under-par rounds Thursday.</w:t>
      </w:r>
      <w:r w:rsidR="004E65EA" w:rsidRPr="00EC211F">
        <w:rPr>
          <w:color w:val="FF0000"/>
        </w:rPr>
        <w:t xml:space="preserve"> </w:t>
      </w:r>
    </w:p>
    <w:p w14:paraId="3D4B1CA6" w14:textId="77777777" w:rsidR="004E65EA" w:rsidRDefault="004E65EA" w:rsidP="004E65EA"/>
    <w:p w14:paraId="0596D630" w14:textId="77777777" w:rsidR="004E65EA" w:rsidRPr="006D323E" w:rsidRDefault="004E65EA" w:rsidP="004E65EA">
      <w:pPr>
        <w:rPr>
          <w:b/>
        </w:rPr>
      </w:pPr>
      <w:r>
        <w:rPr>
          <w:b/>
        </w:rPr>
        <w:t xml:space="preserve">Quotable </w:t>
      </w:r>
    </w:p>
    <w:p w14:paraId="5947A823" w14:textId="7593ABBA" w:rsidR="000655CC" w:rsidRDefault="000655CC" w:rsidP="000655CC">
      <w:r>
        <w:t xml:space="preserve"> </w:t>
      </w:r>
      <w:r>
        <w:t>“It was good. It was tough out there and got windy at the end.” –</w:t>
      </w:r>
      <w:proofErr w:type="spellStart"/>
      <w:r>
        <w:rPr>
          <w:b/>
        </w:rPr>
        <w:t>Tano</w:t>
      </w:r>
      <w:proofErr w:type="spellEnd"/>
      <w:r>
        <w:rPr>
          <w:b/>
        </w:rPr>
        <w:t xml:space="preserve"> Goya</w:t>
      </w:r>
    </w:p>
    <w:p w14:paraId="2D0A3D1A" w14:textId="77777777" w:rsidR="000655CC" w:rsidRDefault="000655CC" w:rsidP="000655CC"/>
    <w:p w14:paraId="7CD6E7FB" w14:textId="77777777" w:rsidR="000655CC" w:rsidRDefault="000655CC" w:rsidP="000655CC">
      <w:r>
        <w:t>“The key was from the tee I hit it pretty solid. I took advantage of the par-5s. I was 4-under on those.”–</w:t>
      </w:r>
      <w:r w:rsidRPr="00A3402C">
        <w:rPr>
          <w:b/>
        </w:rPr>
        <w:t xml:space="preserve"> </w:t>
      </w:r>
      <w:proofErr w:type="spellStart"/>
      <w:r>
        <w:rPr>
          <w:b/>
        </w:rPr>
        <w:t>Tano</w:t>
      </w:r>
      <w:proofErr w:type="spellEnd"/>
      <w:r>
        <w:rPr>
          <w:b/>
        </w:rPr>
        <w:t xml:space="preserve"> Goya</w:t>
      </w:r>
    </w:p>
    <w:p w14:paraId="5B8E8AB5" w14:textId="77777777" w:rsidR="000655CC" w:rsidRDefault="000655CC" w:rsidP="000655CC"/>
    <w:p w14:paraId="066C2BC8" w14:textId="7BE81AD1" w:rsidR="000655CC" w:rsidRDefault="000655CC" w:rsidP="000655CC">
      <w:pPr>
        <w:rPr>
          <w:b/>
        </w:rPr>
      </w:pPr>
      <w:r>
        <w:t>“I think it’s tough because normally it’s very windy, but the direction changes a lot. And you have the mountains and the trees. Sometimes, the wind doesn’t affect a shot as much as you think it will. That makes it tough to control the distance.” –</w:t>
      </w:r>
      <w:r w:rsidRPr="00A3402C">
        <w:rPr>
          <w:b/>
        </w:rPr>
        <w:t xml:space="preserve"> </w:t>
      </w:r>
      <w:proofErr w:type="spellStart"/>
      <w:r>
        <w:rPr>
          <w:b/>
        </w:rPr>
        <w:t>Tano</w:t>
      </w:r>
      <w:proofErr w:type="spellEnd"/>
      <w:r>
        <w:rPr>
          <w:b/>
        </w:rPr>
        <w:t xml:space="preserve"> Goya</w:t>
      </w:r>
    </w:p>
    <w:p w14:paraId="1259AFD3" w14:textId="15BAFAB6" w:rsidR="004435FD" w:rsidRDefault="004435FD" w:rsidP="000655CC">
      <w:pPr>
        <w:rPr>
          <w:b/>
        </w:rPr>
      </w:pPr>
    </w:p>
    <w:p w14:paraId="4130CF6A" w14:textId="3E7655B4" w:rsidR="004435FD" w:rsidRDefault="004435FD" w:rsidP="000655CC">
      <w:pPr>
        <w:rPr>
          <w:b/>
        </w:rPr>
      </w:pPr>
      <w:r w:rsidRPr="004435FD">
        <w:t>“It was very difficult today. I hit a lot of fairways, and that really helped. Playing out of the rough with this wind, you never know.”</w:t>
      </w:r>
      <w:r>
        <w:rPr>
          <w:b/>
        </w:rPr>
        <w:t xml:space="preserve"> –Harry Higgs</w:t>
      </w:r>
    </w:p>
    <w:p w14:paraId="5CC2B9C6" w14:textId="355DC389" w:rsidR="004435FD" w:rsidRDefault="004435FD" w:rsidP="000655CC">
      <w:pPr>
        <w:rPr>
          <w:b/>
        </w:rPr>
      </w:pPr>
    </w:p>
    <w:p w14:paraId="184BF940" w14:textId="1DB0AD0E" w:rsidR="004435FD" w:rsidRDefault="004435FD" w:rsidP="000655CC">
      <w:pPr>
        <w:rPr>
          <w:b/>
        </w:rPr>
      </w:pPr>
      <w:r w:rsidRPr="004435FD">
        <w:t xml:space="preserve"> “I think we’re going to have more difficult conditions the next couple of days. Hopefully I can keep it going.”</w:t>
      </w:r>
      <w:r>
        <w:rPr>
          <w:b/>
        </w:rPr>
        <w:t xml:space="preserve"> –Harry Higgs</w:t>
      </w:r>
    </w:p>
    <w:p w14:paraId="2A63ACCD" w14:textId="4CE90612" w:rsidR="004435FD" w:rsidRDefault="004435FD" w:rsidP="000655CC">
      <w:pPr>
        <w:rPr>
          <w:b/>
        </w:rPr>
      </w:pPr>
    </w:p>
    <w:p w14:paraId="229AB2F6" w14:textId="5769993F" w:rsidR="004435FD" w:rsidRDefault="004435FD" w:rsidP="000655CC">
      <w:pPr>
        <w:rPr>
          <w:b/>
        </w:rPr>
      </w:pPr>
      <w:r w:rsidRPr="004435FD">
        <w:t>“I think I was fortunate to get an afternoon tee time today after a long day of travel.”</w:t>
      </w:r>
      <w:r>
        <w:rPr>
          <w:b/>
        </w:rPr>
        <w:t xml:space="preserve"> –Harry Higgs</w:t>
      </w:r>
    </w:p>
    <w:p w14:paraId="7ED84BF4" w14:textId="77777777" w:rsidR="000655CC" w:rsidRDefault="000655CC" w:rsidP="000655CC"/>
    <w:p w14:paraId="4AE6C79A" w14:textId="1DEBB9B8" w:rsidR="000655CC" w:rsidRDefault="000655CC" w:rsidP="000655CC">
      <w:pPr>
        <w:rPr>
          <w:b/>
        </w:rPr>
      </w:pPr>
      <w:r>
        <w:t xml:space="preserve">“We played pretty well and solid. I think it gets contagious. Both of us got off to a good start and then we kept going and didn’t make </w:t>
      </w:r>
      <w:r w:rsidR="00EC211F">
        <w:t>m</w:t>
      </w:r>
      <w:r>
        <w:t>any bogeys.” –</w:t>
      </w:r>
      <w:r w:rsidRPr="00A3402C">
        <w:rPr>
          <w:b/>
        </w:rPr>
        <w:t xml:space="preserve"> </w:t>
      </w:r>
      <w:proofErr w:type="spellStart"/>
      <w:r>
        <w:rPr>
          <w:b/>
        </w:rPr>
        <w:t>Tano</w:t>
      </w:r>
      <w:proofErr w:type="spellEnd"/>
      <w:r>
        <w:rPr>
          <w:b/>
        </w:rPr>
        <w:t xml:space="preserve"> Goya</w:t>
      </w:r>
      <w:r w:rsidR="00EC211F">
        <w:rPr>
          <w:b/>
        </w:rPr>
        <w:t xml:space="preserve"> on playing with Clodomiro Carranza</w:t>
      </w:r>
    </w:p>
    <w:p w14:paraId="77409431" w14:textId="03821F87" w:rsidR="004435FD" w:rsidRDefault="004435FD" w:rsidP="000655CC"/>
    <w:p w14:paraId="4E5B7743" w14:textId="77777777" w:rsidR="004435FD" w:rsidRDefault="004435FD" w:rsidP="004435FD">
      <w:pPr>
        <w:rPr>
          <w:b/>
        </w:rPr>
      </w:pPr>
      <w:r w:rsidRPr="004435FD">
        <w:t>“Some of these holes [the wind] feels one way then it blows a completely different way. I’m very, very satisfied with the start.”</w:t>
      </w:r>
      <w:r>
        <w:rPr>
          <w:b/>
        </w:rPr>
        <w:t xml:space="preserve"> –Harry Higgs</w:t>
      </w:r>
    </w:p>
    <w:p w14:paraId="25FB1CEF" w14:textId="77777777" w:rsidR="004435FD" w:rsidRDefault="004435FD" w:rsidP="004435FD">
      <w:pPr>
        <w:rPr>
          <w:b/>
        </w:rPr>
      </w:pPr>
    </w:p>
    <w:p w14:paraId="47DDB93E" w14:textId="77777777" w:rsidR="004E65EA" w:rsidRPr="00EF7326" w:rsidRDefault="004E65EA" w:rsidP="004E65EA">
      <w:pPr>
        <w:rPr>
          <w:b/>
        </w:rPr>
      </w:pPr>
      <w:r w:rsidRPr="00EF7326">
        <w:rPr>
          <w:b/>
        </w:rPr>
        <w:t>Tournament Fast Fact</w:t>
      </w:r>
    </w:p>
    <w:p w14:paraId="201868F3" w14:textId="0665E21E" w:rsidR="004E65EA" w:rsidRDefault="000655CC" w:rsidP="004E65EA">
      <w:r>
        <w:t xml:space="preserve">A year ago, the tournament preceding the Argentine Open was the NEC Argentina Classic. Julian </w:t>
      </w:r>
      <w:proofErr w:type="spellStart"/>
      <w:r>
        <w:t>Etulain</w:t>
      </w:r>
      <w:proofErr w:type="spellEnd"/>
      <w:r>
        <w:t xml:space="preserve"> won that tournament at the Las </w:t>
      </w:r>
      <w:proofErr w:type="spellStart"/>
      <w:r>
        <w:t>Praderas</w:t>
      </w:r>
      <w:proofErr w:type="spellEnd"/>
      <w:r>
        <w:t xml:space="preserve"> de Lujan Country Club by a stroke over Colin Featherstone and Jared Wolfe. </w:t>
      </w:r>
    </w:p>
    <w:p w14:paraId="637EFB8E" w14:textId="77777777" w:rsidR="004E65EA" w:rsidRDefault="004E65EA" w:rsidP="004E65EA"/>
    <w:p w14:paraId="19856927" w14:textId="77777777" w:rsidR="004E65EA" w:rsidRPr="00EF7326" w:rsidRDefault="004E65EA" w:rsidP="004E65EA">
      <w:pPr>
        <w:rPr>
          <w:b/>
        </w:rPr>
      </w:pPr>
      <w:r w:rsidRPr="00EF7326">
        <w:rPr>
          <w:b/>
        </w:rPr>
        <w:t>First-Round Weather Report</w:t>
      </w:r>
    </w:p>
    <w:p w14:paraId="2E1FCC98" w14:textId="25C5B854" w:rsidR="004E65EA" w:rsidRPr="00EF7326" w:rsidRDefault="000655CC" w:rsidP="004E65EA">
      <w:r>
        <w:t>Mostly sunny and warm</w:t>
      </w:r>
      <w:r w:rsidR="004E65EA">
        <w:t xml:space="preserve">, with a high of </w:t>
      </w:r>
      <w:r w:rsidR="008707C7">
        <w:t>90</w:t>
      </w:r>
      <w:r w:rsidR="004E65EA">
        <w:t xml:space="preserve">. Wind </w:t>
      </w:r>
      <w:r w:rsidR="008707C7">
        <w:t>S</w:t>
      </w:r>
      <w:r w:rsidR="00E7296B">
        <w:t>W</w:t>
      </w:r>
      <w:r w:rsidR="004E65EA">
        <w:t xml:space="preserve"> at 12-1</w:t>
      </w:r>
      <w:r w:rsidR="008707C7">
        <w:t>7</w:t>
      </w:r>
      <w:r w:rsidR="004E65EA">
        <w:t xml:space="preserve"> mph</w:t>
      </w:r>
      <w:r w:rsidR="008707C7">
        <w:t>, with gusts to 20 mph</w:t>
      </w:r>
      <w:r w:rsidR="004E65EA">
        <w:t>.</w:t>
      </w:r>
      <w:bookmarkEnd w:id="0"/>
      <w:r w:rsidR="004E65EA" w:rsidRPr="00EF7326">
        <w:t xml:space="preserve"> </w:t>
      </w:r>
    </w:p>
    <w:p w14:paraId="14F8AB61" w14:textId="77777777" w:rsidR="004E65EA" w:rsidRDefault="004E65EA" w:rsidP="004E65EA"/>
    <w:p w14:paraId="22D358A5" w14:textId="77777777" w:rsidR="004E65EA" w:rsidRDefault="004E65EA" w:rsidP="004E65EA"/>
    <w:p w14:paraId="20FC7275" w14:textId="77777777" w:rsidR="004E65EA" w:rsidRDefault="004E65EA" w:rsidP="004E65EA">
      <w:bookmarkStart w:id="1" w:name="_GoBack"/>
      <w:bookmarkEnd w:id="1"/>
    </w:p>
    <w:p w14:paraId="0FBFB50B" w14:textId="77777777" w:rsidR="004E65EA" w:rsidRDefault="004E65EA" w:rsidP="004E65EA"/>
    <w:p w14:paraId="489125DC"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5EA"/>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5CC"/>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5FD"/>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4E65EA"/>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5BA2"/>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7C7"/>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296B"/>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211F"/>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FC44"/>
  <w15:chartTrackingRefBased/>
  <w15:docId w15:val="{824C142F-7DE7-43E1-88FD-3E2E6FB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2018-11-08T19:15:00Z</dcterms:created>
  <dcterms:modified xsi:type="dcterms:W3CDTF">2018-11-08T23:24:00Z</dcterms:modified>
</cp:coreProperties>
</file>